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0A" w:rsidRPr="00363CE1" w:rsidRDefault="00136D0A" w:rsidP="006A63E6">
      <w:pPr>
        <w:pStyle w:val="newncpi0"/>
        <w:widowControl w:val="0"/>
        <w:ind w:firstLine="3686"/>
        <w:rPr>
          <w:sz w:val="28"/>
          <w:szCs w:val="28"/>
        </w:rPr>
      </w:pPr>
      <w:bookmarkStart w:id="0" w:name="_GoBack"/>
      <w:bookmarkEnd w:id="0"/>
    </w:p>
    <w:p w:rsidR="004B4526" w:rsidRDefault="001167A7" w:rsidP="004B4526">
      <w:pPr>
        <w:pStyle w:val="a6"/>
        <w:ind w:left="-142" w:right="255"/>
        <w:jc w:val="center"/>
        <w:rPr>
          <w:sz w:val="28"/>
          <w:szCs w:val="28"/>
        </w:rPr>
      </w:pPr>
      <w:r w:rsidRPr="00363CE1">
        <w:rPr>
          <w:b w:val="0"/>
          <w:sz w:val="28"/>
          <w:szCs w:val="28"/>
        </w:rPr>
        <w:t>Программа проведения оценки воздействия на окружающую среду планируемой хозяйственной деятельности по объекту</w:t>
      </w:r>
      <w:r w:rsidRPr="00363CE1">
        <w:rPr>
          <w:sz w:val="28"/>
          <w:szCs w:val="28"/>
          <w:highlight w:val="yellow"/>
        </w:rPr>
        <w:br/>
      </w:r>
      <w:r w:rsidR="00363CE1" w:rsidRPr="00363CE1">
        <w:rPr>
          <w:sz w:val="28"/>
          <w:szCs w:val="28"/>
        </w:rPr>
        <w:t>«Модернизация площадки по сбору, хранению и использованию отходов минерального происхождения на территории</w:t>
      </w:r>
    </w:p>
    <w:p w:rsidR="001167A7" w:rsidRPr="004B4526" w:rsidRDefault="00363CE1" w:rsidP="004B4526">
      <w:pPr>
        <w:pStyle w:val="a6"/>
        <w:spacing w:after="120"/>
        <w:ind w:left="-142" w:right="255"/>
        <w:jc w:val="center"/>
        <w:rPr>
          <w:sz w:val="28"/>
          <w:szCs w:val="28"/>
        </w:rPr>
      </w:pPr>
      <w:r w:rsidRPr="00363CE1">
        <w:rPr>
          <w:sz w:val="28"/>
          <w:szCs w:val="28"/>
        </w:rPr>
        <w:t>ОАО «Гомельстройматериалы»</w:t>
      </w:r>
    </w:p>
    <w:p w:rsidR="001167A7" w:rsidRPr="00363CE1" w:rsidRDefault="001167A7" w:rsidP="001167A7">
      <w:pPr>
        <w:pStyle w:val="a6"/>
        <w:numPr>
          <w:ilvl w:val="0"/>
          <w:numId w:val="7"/>
        </w:numPr>
        <w:ind w:left="142" w:firstLine="567"/>
        <w:rPr>
          <w:sz w:val="28"/>
          <w:szCs w:val="28"/>
        </w:rPr>
      </w:pPr>
      <w:r w:rsidRPr="00363CE1">
        <w:rPr>
          <w:sz w:val="28"/>
          <w:szCs w:val="28"/>
        </w:rPr>
        <w:t>План-график работ по проведению ОВОС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363CE1" w:rsidRPr="00363CE1" w:rsidTr="00DD083D">
        <w:tc>
          <w:tcPr>
            <w:tcW w:w="5353" w:type="dxa"/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 xml:space="preserve">Подготовка программы проведения ОВОС </w:t>
            </w:r>
          </w:p>
        </w:tc>
        <w:tc>
          <w:tcPr>
            <w:tcW w:w="4253" w:type="dxa"/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t>с 17 апреля 2023 г. по 19 апреля 2023 г.</w:t>
            </w:r>
          </w:p>
        </w:tc>
      </w:tr>
      <w:tr w:rsidR="00363CE1" w:rsidRPr="00363CE1" w:rsidTr="00DD083D">
        <w:trPr>
          <w:trHeight w:val="894"/>
        </w:trPr>
        <w:tc>
          <w:tcPr>
            <w:tcW w:w="5353" w:type="dxa"/>
            <w:tcBorders>
              <w:bottom w:val="single" w:sz="4" w:space="0" w:color="auto"/>
            </w:tcBorders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t>май 2023 г.</w:t>
            </w:r>
          </w:p>
        </w:tc>
      </w:tr>
      <w:tr w:rsidR="00363CE1" w:rsidRPr="00363CE1" w:rsidTr="00DD083D">
        <w:trPr>
          <w:trHeight w:val="61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Подготовка уведомления о планируемой хозяйственной и иной деятельности*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rPr>
                <w:bCs/>
              </w:rPr>
              <w:t>не требуется</w:t>
            </w:r>
          </w:p>
        </w:tc>
      </w:tr>
      <w:tr w:rsidR="00363CE1" w:rsidRPr="00363CE1" w:rsidTr="00DD083D">
        <w:trPr>
          <w:trHeight w:val="609"/>
        </w:trPr>
        <w:tc>
          <w:tcPr>
            <w:tcW w:w="5353" w:type="dxa"/>
            <w:tcBorders>
              <w:top w:val="single" w:sz="4" w:space="0" w:color="auto"/>
            </w:tcBorders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CE1" w:rsidRPr="00363CE1" w:rsidRDefault="00363CE1" w:rsidP="00363CE1">
            <w:pPr>
              <w:jc w:val="center"/>
              <w:rPr>
                <w:bCs/>
                <w:highlight w:val="yellow"/>
              </w:rPr>
            </w:pPr>
            <w:r w:rsidRPr="00141CC5">
              <w:rPr>
                <w:bCs/>
              </w:rPr>
              <w:t>не требуется</w:t>
            </w:r>
          </w:p>
        </w:tc>
      </w:tr>
      <w:tr w:rsidR="00363CE1" w:rsidRPr="00363CE1" w:rsidTr="00DD083D">
        <w:trPr>
          <w:trHeight w:val="315"/>
        </w:trPr>
        <w:tc>
          <w:tcPr>
            <w:tcW w:w="5353" w:type="dxa"/>
            <w:tcBorders>
              <w:bottom w:val="single" w:sz="4" w:space="0" w:color="auto"/>
            </w:tcBorders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Подготовка отчета об ОВОС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t>апрель-май 2023г.</w:t>
            </w:r>
          </w:p>
        </w:tc>
      </w:tr>
      <w:tr w:rsidR="00363CE1" w:rsidRPr="00363CE1" w:rsidTr="00DD083D">
        <w:trPr>
          <w:trHeight w:val="605"/>
        </w:trPr>
        <w:tc>
          <w:tcPr>
            <w:tcW w:w="5353" w:type="dxa"/>
            <w:tcBorders>
              <w:top w:val="single" w:sz="4" w:space="0" w:color="auto"/>
            </w:tcBorders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Направление отчета об ОВОС затрагиваемым сторонам*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rPr>
                <w:bCs/>
              </w:rPr>
              <w:t>не требуется</w:t>
            </w:r>
          </w:p>
        </w:tc>
      </w:tr>
      <w:tr w:rsidR="00363CE1" w:rsidRPr="00363CE1" w:rsidTr="00DD083D">
        <w:trPr>
          <w:trHeight w:val="840"/>
        </w:trPr>
        <w:tc>
          <w:tcPr>
            <w:tcW w:w="5353" w:type="dxa"/>
            <w:tcBorders>
              <w:bottom w:val="single" w:sz="4" w:space="0" w:color="auto"/>
            </w:tcBorders>
          </w:tcPr>
          <w:p w:rsidR="00363CE1" w:rsidRPr="00141CC5" w:rsidRDefault="00363CE1" w:rsidP="00363CE1">
            <w:pPr>
              <w:jc w:val="both"/>
            </w:pPr>
            <w:r w:rsidRPr="00141CC5">
              <w:t>Проведение общественных обсуждений на территории:</w:t>
            </w:r>
          </w:p>
          <w:p w:rsidR="00363CE1" w:rsidRPr="00141CC5" w:rsidRDefault="00363CE1" w:rsidP="00363CE1">
            <w:pPr>
              <w:jc w:val="both"/>
            </w:pPr>
            <w:r w:rsidRPr="00141CC5">
              <w:t>Республики Беларусь</w:t>
            </w:r>
          </w:p>
          <w:p w:rsidR="00363CE1" w:rsidRPr="00141CC5" w:rsidRDefault="00363CE1" w:rsidP="00363CE1">
            <w:pPr>
              <w:jc w:val="both"/>
            </w:pPr>
          </w:p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затрагиваемых сторон*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63CE1" w:rsidRPr="00141CC5" w:rsidRDefault="00363CE1" w:rsidP="00363CE1">
            <w:pPr>
              <w:jc w:val="center"/>
            </w:pPr>
            <w:r w:rsidRPr="00141CC5">
              <w:t>май-июнь 2023 г.</w:t>
            </w:r>
          </w:p>
          <w:p w:rsidR="00363CE1" w:rsidRPr="00141CC5" w:rsidRDefault="00363CE1" w:rsidP="00363CE1">
            <w:pPr>
              <w:jc w:val="center"/>
              <w:rPr>
                <w:bCs/>
              </w:rPr>
            </w:pPr>
            <w:r w:rsidRPr="00141CC5">
              <w:rPr>
                <w:bCs/>
              </w:rPr>
              <w:t>(не менее 30 календарных дней)</w:t>
            </w:r>
          </w:p>
          <w:p w:rsidR="00363CE1" w:rsidRPr="00141CC5" w:rsidRDefault="00363CE1" w:rsidP="00363CE1">
            <w:pPr>
              <w:jc w:val="center"/>
              <w:rPr>
                <w:bCs/>
              </w:rPr>
            </w:pPr>
          </w:p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rPr>
                <w:bCs/>
              </w:rPr>
              <w:t>не требуется</w:t>
            </w:r>
          </w:p>
        </w:tc>
      </w:tr>
      <w:tr w:rsidR="00363CE1" w:rsidRPr="00363CE1" w:rsidTr="00DD083D">
        <w:trPr>
          <w:trHeight w:val="255"/>
        </w:trPr>
        <w:tc>
          <w:tcPr>
            <w:tcW w:w="5353" w:type="dxa"/>
            <w:tcBorders>
              <w:top w:val="single" w:sz="4" w:space="0" w:color="auto"/>
            </w:tcBorders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Проведение консультаций по замечаниям затрагиваемых сторон*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rPr>
                <w:bCs/>
              </w:rPr>
              <w:t>не требуется</w:t>
            </w:r>
          </w:p>
        </w:tc>
      </w:tr>
      <w:tr w:rsidR="00363CE1" w:rsidRPr="00363CE1" w:rsidTr="00DD083D">
        <w:tc>
          <w:tcPr>
            <w:tcW w:w="5353" w:type="dxa"/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Проведение собрания по обсуждению отчета об ОВОС</w:t>
            </w:r>
          </w:p>
        </w:tc>
        <w:tc>
          <w:tcPr>
            <w:tcW w:w="4253" w:type="dxa"/>
            <w:vAlign w:val="center"/>
          </w:tcPr>
          <w:p w:rsidR="00363CE1" w:rsidRPr="00141CC5" w:rsidRDefault="00363CE1" w:rsidP="00363CE1">
            <w:pPr>
              <w:jc w:val="center"/>
            </w:pPr>
            <w:r>
              <w:t>и</w:t>
            </w:r>
            <w:r w:rsidRPr="00141CC5">
              <w:t>юнь 2023 г.</w:t>
            </w:r>
          </w:p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t>(не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363CE1" w:rsidRPr="00363CE1" w:rsidTr="00DD083D">
        <w:tc>
          <w:tcPr>
            <w:tcW w:w="5353" w:type="dxa"/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Доработка отчета об ОВОС по замечаниям</w:t>
            </w:r>
          </w:p>
        </w:tc>
        <w:tc>
          <w:tcPr>
            <w:tcW w:w="4253" w:type="dxa"/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t>Июнь 2023 г.</w:t>
            </w:r>
          </w:p>
        </w:tc>
      </w:tr>
      <w:tr w:rsidR="00363CE1" w:rsidRPr="00363CE1" w:rsidTr="00DD083D">
        <w:tc>
          <w:tcPr>
            <w:tcW w:w="5353" w:type="dxa"/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4253" w:type="dxa"/>
            <w:vAlign w:val="center"/>
          </w:tcPr>
          <w:p w:rsidR="00363CE1" w:rsidRPr="00363CE1" w:rsidRDefault="00363CE1" w:rsidP="00363CE1">
            <w:pPr>
              <w:jc w:val="center"/>
              <w:rPr>
                <w:highlight w:val="yellow"/>
              </w:rPr>
            </w:pPr>
            <w:r w:rsidRPr="00141CC5">
              <w:t>июнь 2023г.</w:t>
            </w:r>
          </w:p>
        </w:tc>
      </w:tr>
      <w:tr w:rsidR="00363CE1" w:rsidRPr="00363CE1" w:rsidTr="00DD083D">
        <w:tc>
          <w:tcPr>
            <w:tcW w:w="5353" w:type="dxa"/>
          </w:tcPr>
          <w:p w:rsidR="00363CE1" w:rsidRPr="00363CE1" w:rsidRDefault="00363CE1" w:rsidP="00363CE1">
            <w:pPr>
              <w:jc w:val="both"/>
              <w:rPr>
                <w:highlight w:val="yellow"/>
              </w:rPr>
            </w:pPr>
            <w:r w:rsidRPr="00141CC5">
              <w:t>Принятие решения в отношении планируемой деятельности</w:t>
            </w:r>
          </w:p>
        </w:tc>
        <w:tc>
          <w:tcPr>
            <w:tcW w:w="4253" w:type="dxa"/>
            <w:vAlign w:val="center"/>
          </w:tcPr>
          <w:p w:rsidR="00363CE1" w:rsidRPr="00141CC5" w:rsidRDefault="00363CE1" w:rsidP="00363CE1">
            <w:pPr>
              <w:jc w:val="center"/>
            </w:pPr>
            <w:r w:rsidRPr="00141CC5">
              <w:t>июль 2023 г.</w:t>
            </w:r>
          </w:p>
          <w:p w:rsidR="00363CE1" w:rsidRPr="00363CE1" w:rsidRDefault="00363CE1" w:rsidP="00363CE1">
            <w:pPr>
              <w:jc w:val="center"/>
              <w:rPr>
                <w:color w:val="00B050"/>
                <w:highlight w:val="yellow"/>
              </w:rPr>
            </w:pPr>
            <w:r w:rsidRPr="00141CC5">
              <w:t>(в течение 15 рабочих дней после получения заключения государственной экологической экспертизы)</w:t>
            </w:r>
          </w:p>
        </w:tc>
      </w:tr>
    </w:tbl>
    <w:p w:rsidR="001167A7" w:rsidRPr="004D27D9" w:rsidRDefault="001167A7" w:rsidP="001167A7">
      <w:pPr>
        <w:pStyle w:val="a3"/>
        <w:tabs>
          <w:tab w:val="clear" w:pos="720"/>
          <w:tab w:val="left" w:pos="851"/>
        </w:tabs>
        <w:spacing w:before="240" w:after="0"/>
        <w:ind w:left="709" w:firstLine="0"/>
        <w:rPr>
          <w:sz w:val="24"/>
        </w:rPr>
      </w:pPr>
      <w:r w:rsidRPr="004D27D9">
        <w:rPr>
          <w:sz w:val="24"/>
        </w:rPr>
        <w:t>*заполняется в случае, если планируемая хозяйственная и иная деятельность может оказывать трансграничное воздействие</w:t>
      </w:r>
    </w:p>
    <w:p w:rsidR="001167A7" w:rsidRPr="00333BD1" w:rsidRDefault="001167A7" w:rsidP="001167A7">
      <w:pPr>
        <w:pStyle w:val="a3"/>
        <w:numPr>
          <w:ilvl w:val="0"/>
          <w:numId w:val="7"/>
        </w:numPr>
        <w:tabs>
          <w:tab w:val="clear" w:pos="720"/>
          <w:tab w:val="left" w:pos="851"/>
        </w:tabs>
        <w:spacing w:before="240" w:after="0"/>
        <w:ind w:left="142" w:firstLine="567"/>
        <w:rPr>
          <w:b/>
          <w:szCs w:val="28"/>
        </w:rPr>
      </w:pPr>
      <w:r w:rsidRPr="00333BD1">
        <w:rPr>
          <w:b/>
          <w:szCs w:val="28"/>
        </w:rPr>
        <w:t>Сведения о планируемой хозяйственной и иной деятельности и альтернативных вариантах ее размещения и (или) реализации</w:t>
      </w:r>
    </w:p>
    <w:p w:rsidR="00333BD1" w:rsidRPr="00333BD1" w:rsidRDefault="00333BD1" w:rsidP="00333BD1">
      <w:pPr>
        <w:suppressAutoHyphens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33BD1">
        <w:rPr>
          <w:rFonts w:eastAsia="Calibri"/>
          <w:sz w:val="28"/>
          <w:szCs w:val="28"/>
          <w:lang w:eastAsia="en-US"/>
        </w:rPr>
        <w:t>Целью данного проекта является организация площадки по производству дробленой песчано-шлаково-минеральной смеси ТУ BY 400051892/078-2021 с реализации физическим и юридическим лицам.</w:t>
      </w:r>
    </w:p>
    <w:p w:rsidR="00333BD1" w:rsidRPr="00333BD1" w:rsidRDefault="00333BD1" w:rsidP="00333BD1">
      <w:pPr>
        <w:suppressAutoHyphens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33BD1">
        <w:rPr>
          <w:rFonts w:eastAsia="Calibri"/>
          <w:sz w:val="28"/>
          <w:szCs w:val="28"/>
          <w:lang w:eastAsia="en-US"/>
        </w:rPr>
        <w:lastRenderedPageBreak/>
        <w:t>Область применения получаемой готовой продукции - песчано-шлаково-минеральной смеси (далее по тексту смеси): для строительных и дорожно-строительных работ при формировании подстилающего слоя, устройства оснований дорожных одежд улиц и дорог, замены грунта при обратной засыпке котлованов и траншей, благоустройства территорий, рекультивации карьеров, нарушенных в результате разработки месторождений полезных ископаемых.</w:t>
      </w:r>
    </w:p>
    <w:p w:rsidR="00333BD1" w:rsidRPr="00333BD1" w:rsidRDefault="00333BD1" w:rsidP="00333BD1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3BD1">
        <w:rPr>
          <w:rFonts w:eastAsia="Calibri"/>
          <w:sz w:val="28"/>
          <w:szCs w:val="28"/>
          <w:lang w:eastAsia="en-US"/>
        </w:rPr>
        <w:t>Годовая производственная программа выпуска готовой продукции (песчано-шлаково-минеральной смеси ТУ BY 400051892/078-2021) 7600 т/год.</w:t>
      </w:r>
    </w:p>
    <w:p w:rsidR="00333BD1" w:rsidRPr="00333BD1" w:rsidRDefault="00333BD1" w:rsidP="00333BD1">
      <w:pPr>
        <w:suppressAutoHyphens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33BD1">
        <w:rPr>
          <w:rFonts w:eastAsia="Calibri"/>
          <w:sz w:val="28"/>
          <w:szCs w:val="28"/>
          <w:lang w:eastAsia="en-US"/>
        </w:rPr>
        <w:t>Сырьем для производства песчано-шлаково-минеральной смеси дробленой ТУ BY 400051892/078-2021 являются следующие виды отходов, образующиеся на предприятии: ваграночный шлак, песок, бой камней силикатных, бой блоков из ячеистого бетона, смешанные отходы строительства.</w:t>
      </w:r>
    </w:p>
    <w:p w:rsidR="00333BD1" w:rsidRPr="00333BD1" w:rsidRDefault="00333BD1" w:rsidP="00333BD1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33BD1">
        <w:rPr>
          <w:rFonts w:eastAsia="Calibri"/>
          <w:bCs/>
          <w:sz w:val="28"/>
          <w:szCs w:val="28"/>
          <w:lang w:eastAsia="en-US"/>
        </w:rPr>
        <w:t>Проектом предусматривается модернизация площадки по сбору, хранению и использованию отходов минерального происхождения на территории ОАО «Гомельстройматериалы» по адресу: г. Гомель, ул. Могилевская, 14.</w:t>
      </w:r>
    </w:p>
    <w:p w:rsidR="00333BD1" w:rsidRPr="00333BD1" w:rsidRDefault="00333BD1" w:rsidP="00333BD1">
      <w:pPr>
        <w:spacing w:before="120"/>
        <w:ind w:left="284" w:right="284" w:firstLine="425"/>
        <w:jc w:val="both"/>
        <w:rPr>
          <w:i/>
          <w:iCs/>
          <w:sz w:val="28"/>
          <w:szCs w:val="28"/>
          <w:u w:val="single"/>
          <w:lang w:eastAsia="en-US"/>
        </w:rPr>
      </w:pPr>
      <w:r w:rsidRPr="00333BD1">
        <w:rPr>
          <w:i/>
          <w:iCs/>
          <w:sz w:val="28"/>
          <w:szCs w:val="28"/>
          <w:u w:val="single"/>
          <w:lang w:eastAsia="en-US"/>
        </w:rPr>
        <w:t>Альтернативные варианты размещения планируемой деятельности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Существовали следующие альтернативные варианты размещения планируемой деятельности: 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1. Вариант 1. Существующая площадка для</w:t>
      </w:r>
      <w:r w:rsidRPr="00333BD1">
        <w:rPr>
          <w:rFonts w:eastAsia="MS Mincho"/>
          <w:bCs/>
          <w:sz w:val="28"/>
          <w:szCs w:val="28"/>
          <w:lang w:eastAsia="en-US"/>
        </w:rPr>
        <w:t xml:space="preserve"> производственных отходов.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2. Вариант 2. Отказ от реализации планируемой деятельности. </w:t>
      </w:r>
    </w:p>
    <w:p w:rsidR="00333BD1" w:rsidRPr="00333BD1" w:rsidRDefault="00333BD1" w:rsidP="00333BD1">
      <w:pPr>
        <w:tabs>
          <w:tab w:val="left" w:pos="1800"/>
        </w:tabs>
        <w:spacing w:after="60"/>
        <w:ind w:left="284" w:right="284" w:firstLine="425"/>
        <w:contextualSpacing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Существующая площадка для производственных отходов в настоящее время эксплуатируется для сбора и хранения следующих видов отходов: </w:t>
      </w:r>
    </w:p>
    <w:p w:rsidR="00333BD1" w:rsidRPr="00333BD1" w:rsidRDefault="00333BD1" w:rsidP="00333BD1">
      <w:pPr>
        <w:ind w:left="284" w:right="284" w:firstLine="425"/>
        <w:jc w:val="both"/>
        <w:rPr>
          <w:rFonts w:eastAsia="MS Mincho"/>
          <w:bCs/>
          <w:sz w:val="28"/>
          <w:szCs w:val="28"/>
        </w:rPr>
      </w:pPr>
      <w:r w:rsidRPr="00333BD1">
        <w:rPr>
          <w:rFonts w:eastAsia="MS Mincho"/>
          <w:bCs/>
          <w:sz w:val="28"/>
          <w:szCs w:val="28"/>
        </w:rPr>
        <w:t>- ваграночный шлак с песком;</w:t>
      </w:r>
    </w:p>
    <w:p w:rsidR="00333BD1" w:rsidRPr="00333BD1" w:rsidRDefault="00333BD1" w:rsidP="00333BD1">
      <w:pPr>
        <w:ind w:left="284" w:right="284" w:firstLine="425"/>
        <w:jc w:val="both"/>
        <w:rPr>
          <w:rFonts w:eastAsia="MS Mincho"/>
          <w:bCs/>
          <w:sz w:val="28"/>
          <w:szCs w:val="28"/>
        </w:rPr>
      </w:pPr>
      <w:r w:rsidRPr="00333BD1">
        <w:rPr>
          <w:rFonts w:eastAsia="MS Mincho"/>
          <w:bCs/>
          <w:sz w:val="28"/>
          <w:szCs w:val="28"/>
        </w:rPr>
        <w:t>- смешанные отходы строительства;</w:t>
      </w:r>
    </w:p>
    <w:p w:rsidR="00333BD1" w:rsidRPr="00333BD1" w:rsidRDefault="00333BD1" w:rsidP="00333BD1">
      <w:pPr>
        <w:ind w:left="284" w:right="284" w:firstLine="425"/>
        <w:jc w:val="both"/>
        <w:rPr>
          <w:rFonts w:eastAsia="MS Mincho"/>
          <w:bCs/>
          <w:sz w:val="28"/>
          <w:szCs w:val="28"/>
        </w:rPr>
      </w:pPr>
      <w:r w:rsidRPr="00333BD1">
        <w:rPr>
          <w:rFonts w:eastAsia="MS Mincho"/>
          <w:bCs/>
          <w:sz w:val="28"/>
          <w:szCs w:val="28"/>
        </w:rPr>
        <w:t>- отходы, содержащие чугун в кусковой форме;</w:t>
      </w:r>
    </w:p>
    <w:p w:rsidR="00333BD1" w:rsidRPr="00333BD1" w:rsidRDefault="00333BD1" w:rsidP="00333BD1">
      <w:pPr>
        <w:ind w:left="284" w:right="284" w:firstLine="425"/>
        <w:jc w:val="both"/>
        <w:rPr>
          <w:rFonts w:eastAsia="MS Mincho"/>
          <w:bCs/>
          <w:sz w:val="28"/>
          <w:szCs w:val="28"/>
        </w:rPr>
      </w:pPr>
      <w:r w:rsidRPr="00333BD1">
        <w:rPr>
          <w:rFonts w:eastAsia="MS Mincho"/>
          <w:bCs/>
          <w:sz w:val="28"/>
          <w:szCs w:val="28"/>
        </w:rPr>
        <w:t>- дробленый бой блоков из ячеистого бетона, камней и кирпича;</w:t>
      </w:r>
    </w:p>
    <w:p w:rsidR="00333BD1" w:rsidRPr="00333BD1" w:rsidRDefault="00333BD1" w:rsidP="00333BD1">
      <w:pPr>
        <w:ind w:left="284" w:right="284" w:firstLine="425"/>
        <w:jc w:val="both"/>
        <w:rPr>
          <w:rFonts w:eastAsia="MS Mincho"/>
          <w:bCs/>
          <w:sz w:val="28"/>
          <w:szCs w:val="28"/>
        </w:rPr>
      </w:pPr>
      <w:r w:rsidRPr="00333BD1">
        <w:rPr>
          <w:rFonts w:eastAsia="MS Mincho"/>
          <w:bCs/>
          <w:sz w:val="28"/>
          <w:szCs w:val="28"/>
        </w:rPr>
        <w:t>- отходы предварительного грохочения;</w:t>
      </w:r>
    </w:p>
    <w:p w:rsidR="00333BD1" w:rsidRPr="00333BD1" w:rsidRDefault="00333BD1" w:rsidP="00333BD1">
      <w:pPr>
        <w:ind w:left="284" w:right="284" w:firstLine="425"/>
        <w:jc w:val="both"/>
        <w:rPr>
          <w:rFonts w:eastAsia="MS Mincho"/>
          <w:bCs/>
          <w:sz w:val="28"/>
          <w:szCs w:val="28"/>
        </w:rPr>
      </w:pPr>
      <w:r w:rsidRPr="00333BD1">
        <w:rPr>
          <w:rFonts w:eastAsia="MS Mincho"/>
          <w:bCs/>
          <w:sz w:val="28"/>
          <w:szCs w:val="28"/>
        </w:rPr>
        <w:t>- песок некондиционный.</w:t>
      </w:r>
    </w:p>
    <w:p w:rsidR="00333BD1" w:rsidRPr="00333BD1" w:rsidRDefault="00333BD1" w:rsidP="00333BD1">
      <w:pPr>
        <w:tabs>
          <w:tab w:val="left" w:pos="1800"/>
        </w:tabs>
        <w:spacing w:after="60"/>
        <w:ind w:left="284" w:right="284" w:firstLine="425"/>
        <w:contextualSpacing/>
        <w:jc w:val="both"/>
        <w:rPr>
          <w:rFonts w:eastAsia="MS Mincho"/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Площадка имеет </w:t>
      </w:r>
      <w:r w:rsidRPr="00333BD1">
        <w:rPr>
          <w:rFonts w:eastAsia="MS Mincho"/>
          <w:sz w:val="28"/>
          <w:szCs w:val="28"/>
          <w:lang w:eastAsia="en-US"/>
        </w:rPr>
        <w:t xml:space="preserve">твердое покрытие. 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Положительные последствия: </w:t>
      </w:r>
    </w:p>
    <w:p w:rsidR="00333BD1" w:rsidRPr="00333BD1" w:rsidRDefault="00333BD1" w:rsidP="00333BD1">
      <w:pPr>
        <w:numPr>
          <w:ilvl w:val="0"/>
          <w:numId w:val="11"/>
        </w:numPr>
        <w:spacing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предприятие располагает необходимыми ресурсами и имеет требуемую инфраструктуру для организации производства </w:t>
      </w:r>
      <w:r w:rsidRPr="00333BD1">
        <w:rPr>
          <w:rFonts w:eastAsia="MS Mincho"/>
          <w:bCs/>
          <w:sz w:val="28"/>
          <w:szCs w:val="28"/>
          <w:lang w:eastAsia="en-US"/>
        </w:rPr>
        <w:t xml:space="preserve">дробленой песчано-шлаково-минеральной смеси ТУ </w:t>
      </w:r>
      <w:r w:rsidRPr="00333BD1">
        <w:rPr>
          <w:rFonts w:eastAsia="MS Mincho"/>
          <w:bCs/>
          <w:sz w:val="28"/>
          <w:szCs w:val="28"/>
          <w:lang w:val="en-US" w:eastAsia="en-US"/>
        </w:rPr>
        <w:t>BY</w:t>
      </w:r>
      <w:r w:rsidRPr="00333BD1">
        <w:rPr>
          <w:rFonts w:eastAsia="MS Mincho"/>
          <w:bCs/>
          <w:sz w:val="28"/>
          <w:szCs w:val="28"/>
          <w:lang w:eastAsia="en-US"/>
        </w:rPr>
        <w:t xml:space="preserve"> 400051892/078-2021;</w:t>
      </w:r>
    </w:p>
    <w:p w:rsidR="00333BD1" w:rsidRPr="00333BD1" w:rsidRDefault="00333BD1" w:rsidP="00333BD1">
      <w:pPr>
        <w:numPr>
          <w:ilvl w:val="0"/>
          <w:numId w:val="11"/>
        </w:numPr>
        <w:spacing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увеличение выпуска востребованной на рынке продукции;</w:t>
      </w:r>
    </w:p>
    <w:p w:rsidR="00333BD1" w:rsidRPr="00333BD1" w:rsidRDefault="00333BD1" w:rsidP="00333BD1">
      <w:pPr>
        <w:numPr>
          <w:ilvl w:val="0"/>
          <w:numId w:val="11"/>
        </w:numPr>
        <w:spacing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улучшение условия труда работающих за счет внедрения прогрессивных технологий;</w:t>
      </w:r>
    </w:p>
    <w:p w:rsidR="00333BD1" w:rsidRPr="00333BD1" w:rsidRDefault="00B634B2" w:rsidP="00333BD1">
      <w:pPr>
        <w:numPr>
          <w:ilvl w:val="0"/>
          <w:numId w:val="11"/>
        </w:numPr>
        <w:spacing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повышение уровн</w:t>
      </w:r>
      <w:r w:rsidR="00333BD1" w:rsidRPr="00333BD1">
        <w:rPr>
          <w:sz w:val="28"/>
          <w:szCs w:val="28"/>
          <w:lang w:eastAsia="en-US"/>
        </w:rPr>
        <w:t>я социальной защищенности работников предприятия за счет повышения рентабельности производства и увеличения средней заработной платы.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</w:rPr>
      </w:pPr>
      <w:r w:rsidRPr="00333BD1">
        <w:rPr>
          <w:sz w:val="28"/>
          <w:szCs w:val="28"/>
        </w:rPr>
        <w:t xml:space="preserve">Отрицательные последствия: </w:t>
      </w:r>
    </w:p>
    <w:p w:rsidR="00333BD1" w:rsidRPr="00333BD1" w:rsidRDefault="00333BD1" w:rsidP="00333BD1">
      <w:pPr>
        <w:numPr>
          <w:ilvl w:val="0"/>
          <w:numId w:val="11"/>
        </w:numPr>
        <w:spacing w:after="120"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незначительное увеличение выбросов загрязняющих веществ в пределах района эксплуатации; </w:t>
      </w:r>
    </w:p>
    <w:p w:rsidR="00333BD1" w:rsidRPr="00333BD1" w:rsidRDefault="00333BD1" w:rsidP="00333BD1">
      <w:pPr>
        <w:numPr>
          <w:ilvl w:val="0"/>
          <w:numId w:val="11"/>
        </w:numPr>
        <w:spacing w:after="120"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возможное загрязнение почвы при оседании ЗВ; </w:t>
      </w:r>
    </w:p>
    <w:p w:rsidR="00333BD1" w:rsidRPr="00333BD1" w:rsidRDefault="00333BD1" w:rsidP="00333BD1">
      <w:pPr>
        <w:numPr>
          <w:ilvl w:val="0"/>
          <w:numId w:val="11"/>
        </w:numPr>
        <w:spacing w:after="120" w:line="276" w:lineRule="auto"/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рост водопользования.</w:t>
      </w:r>
    </w:p>
    <w:p w:rsidR="00333BD1" w:rsidRPr="00333BD1" w:rsidRDefault="00333BD1" w:rsidP="00333BD1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333BD1">
        <w:rPr>
          <w:rFonts w:ascii="Times New Roman CYR" w:hAnsi="Times New Roman CYR" w:cs="Times New Roman CYR"/>
          <w:bCs/>
          <w:sz w:val="28"/>
          <w:szCs w:val="28"/>
        </w:rPr>
        <w:t>«Нулевая альтернатива»</w:t>
      </w:r>
      <w:r w:rsidRPr="00333BD1">
        <w:rPr>
          <w:rFonts w:ascii="Times New Roman CYR" w:hAnsi="Times New Roman CYR" w:cs="Times New Roman CYR"/>
          <w:sz w:val="28"/>
          <w:szCs w:val="28"/>
        </w:rPr>
        <w:t xml:space="preserve"> - полный отказ от реализации проекта. </w:t>
      </w:r>
    </w:p>
    <w:p w:rsidR="00333BD1" w:rsidRPr="00333BD1" w:rsidRDefault="00333BD1" w:rsidP="00333BD1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333BD1">
        <w:rPr>
          <w:rFonts w:ascii="Times New Roman CYR" w:hAnsi="Times New Roman CYR" w:cs="Times New Roman CYR"/>
          <w:sz w:val="28"/>
          <w:szCs w:val="28"/>
        </w:rPr>
        <w:t>Положительные последствия:</w:t>
      </w:r>
    </w:p>
    <w:p w:rsidR="00333BD1" w:rsidRPr="00333BD1" w:rsidRDefault="00333BD1" w:rsidP="00333BD1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333BD1">
        <w:rPr>
          <w:rFonts w:ascii="Times New Roman CYR" w:hAnsi="Times New Roman CYR" w:cs="Times New Roman CYR"/>
          <w:sz w:val="28"/>
          <w:szCs w:val="28"/>
        </w:rPr>
        <w:t xml:space="preserve">-отсутствие отрицательных последствий реализации 1-ой альтернативы. Отрицательные последствия: </w:t>
      </w:r>
    </w:p>
    <w:p w:rsidR="00333BD1" w:rsidRPr="00333BD1" w:rsidRDefault="00333BD1" w:rsidP="00333BD1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333BD1">
        <w:rPr>
          <w:rFonts w:ascii="Times New Roman CYR" w:hAnsi="Times New Roman CYR" w:cs="Times New Roman CYR"/>
          <w:sz w:val="28"/>
          <w:szCs w:val="28"/>
        </w:rPr>
        <w:t xml:space="preserve">- упущенная выгода для реализации производственно-экономических программ; </w:t>
      </w:r>
    </w:p>
    <w:p w:rsidR="00333BD1" w:rsidRPr="00333BD1" w:rsidRDefault="00333BD1" w:rsidP="00333BD1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333BD1">
        <w:rPr>
          <w:rFonts w:ascii="Times New Roman CYR" w:hAnsi="Times New Roman CYR" w:cs="Times New Roman CYR"/>
          <w:sz w:val="28"/>
          <w:szCs w:val="28"/>
        </w:rPr>
        <w:t>- упущенная выгода предприятия и для реализации социальных программ.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rFonts w:ascii="Times New Roman CYR" w:hAnsi="Times New Roman CYR" w:cs="Times New Roman CYR"/>
          <w:sz w:val="28"/>
          <w:szCs w:val="28"/>
        </w:rPr>
        <w:t xml:space="preserve">Анализируя вышеуказанное, можно сделать вывод, что отказ </w:t>
      </w:r>
      <w:r w:rsidRPr="00333BD1">
        <w:rPr>
          <w:sz w:val="28"/>
          <w:szCs w:val="28"/>
          <w:lang w:eastAsia="en-US"/>
        </w:rPr>
        <w:t xml:space="preserve">модернизации площадки по сбору, хранению и использованию отходов минерального происхождения на территории ОАО «Гомельстройматериалы» </w:t>
      </w:r>
      <w:r w:rsidRPr="00333BD1">
        <w:rPr>
          <w:rFonts w:ascii="Times New Roman CYR" w:hAnsi="Times New Roman CYR" w:cs="Times New Roman CYR"/>
          <w:sz w:val="28"/>
          <w:szCs w:val="28"/>
        </w:rPr>
        <w:t>не имеет ни социальной, ни экономической обоснованности. Реализация проектных решений альтернативного варианта №1 соответствует тенденции устойчивого разв</w:t>
      </w:r>
      <w:r w:rsidRPr="00333BD1">
        <w:rPr>
          <w:sz w:val="28"/>
          <w:szCs w:val="28"/>
        </w:rPr>
        <w:t>ития Республики Беларусь, согласно которой повышение качества жизни достигается при допустимом воздействии</w:t>
      </w:r>
      <w:r w:rsidRPr="00333BD1">
        <w:rPr>
          <w:sz w:val="28"/>
          <w:szCs w:val="28"/>
          <w:lang w:eastAsia="en-US"/>
        </w:rPr>
        <w:t xml:space="preserve"> на окружающую среду.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Таким образом, приоритетным вариантом размещения планируемой деятельности является 1-й вариант – существующая площадка для производственных отходов.</w:t>
      </w:r>
    </w:p>
    <w:p w:rsidR="00333BD1" w:rsidRPr="00333BD1" w:rsidRDefault="00333BD1" w:rsidP="00333BD1">
      <w:pPr>
        <w:ind w:left="284" w:right="284" w:firstLine="425"/>
        <w:jc w:val="both"/>
        <w:rPr>
          <w:i/>
          <w:iCs/>
          <w:sz w:val="28"/>
          <w:szCs w:val="28"/>
          <w:u w:val="single"/>
          <w:lang w:eastAsia="en-US"/>
        </w:rPr>
      </w:pPr>
      <w:r w:rsidRPr="00333BD1">
        <w:rPr>
          <w:i/>
          <w:iCs/>
          <w:sz w:val="28"/>
          <w:szCs w:val="28"/>
          <w:u w:val="single"/>
          <w:lang w:eastAsia="en-US"/>
        </w:rPr>
        <w:t>Альтернативные варианты технологических решений планируемой деятельности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Существовали следующие альтернативные варианты технологических решений планируемой деятельности: </w:t>
      </w:r>
    </w:p>
    <w:p w:rsidR="00333BD1" w:rsidRPr="00333BD1" w:rsidRDefault="00333BD1" w:rsidP="00957B34">
      <w:pPr>
        <w:numPr>
          <w:ilvl w:val="0"/>
          <w:numId w:val="15"/>
        </w:numPr>
        <w:spacing w:after="120" w:line="276" w:lineRule="auto"/>
        <w:ind w:left="1157" w:right="284" w:hanging="448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 xml:space="preserve">Вариант 1: использование </w:t>
      </w:r>
      <w:r w:rsidRPr="00333BD1">
        <w:rPr>
          <w:rFonts w:eastAsia="MS Mincho"/>
          <w:sz w:val="28"/>
          <w:szCs w:val="28"/>
          <w:lang w:eastAsia="en-US"/>
        </w:rPr>
        <w:t>экскаватора-погрузчика Амкодор 732с навесным дробильным ковшом.</w:t>
      </w:r>
    </w:p>
    <w:p w:rsidR="00333BD1" w:rsidRPr="00333BD1" w:rsidRDefault="00333BD1" w:rsidP="00333BD1">
      <w:pPr>
        <w:numPr>
          <w:ilvl w:val="0"/>
          <w:numId w:val="15"/>
        </w:numPr>
        <w:spacing w:after="60" w:line="276" w:lineRule="auto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Вариант 2: использование дробилки щековой ЩДС-2,5х4,0.</w:t>
      </w:r>
    </w:p>
    <w:p w:rsidR="00333BD1" w:rsidRPr="00333BD1" w:rsidRDefault="00333BD1" w:rsidP="00333BD1">
      <w:pPr>
        <w:numPr>
          <w:ilvl w:val="0"/>
          <w:numId w:val="15"/>
        </w:numPr>
        <w:spacing w:after="60" w:line="276" w:lineRule="auto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Вариант 3. Отказ от реализации планируемой деятельности.</w:t>
      </w:r>
    </w:p>
    <w:p w:rsidR="00333BD1" w:rsidRPr="00333BD1" w:rsidRDefault="00333BD1" w:rsidP="00333BD1">
      <w:pPr>
        <w:ind w:left="284" w:right="284" w:firstLine="425"/>
        <w:jc w:val="both"/>
        <w:rPr>
          <w:sz w:val="28"/>
          <w:szCs w:val="28"/>
          <w:lang w:eastAsia="en-US"/>
        </w:rPr>
      </w:pPr>
      <w:r w:rsidRPr="00333BD1">
        <w:rPr>
          <w:sz w:val="28"/>
          <w:szCs w:val="28"/>
          <w:lang w:eastAsia="en-US"/>
        </w:rPr>
        <w:t>Вариант 2 экономически дороже.</w:t>
      </w:r>
    </w:p>
    <w:p w:rsidR="00333BD1" w:rsidRPr="00D961DC" w:rsidRDefault="00333BD1" w:rsidP="00D961DC">
      <w:pPr>
        <w:widowControl w:val="0"/>
        <w:ind w:left="284" w:right="284" w:firstLine="425"/>
        <w:jc w:val="both"/>
        <w:rPr>
          <w:rFonts w:eastAsia="MS Mincho"/>
          <w:sz w:val="28"/>
          <w:szCs w:val="28"/>
        </w:rPr>
      </w:pPr>
      <w:r w:rsidRPr="00333BD1">
        <w:rPr>
          <w:rFonts w:eastAsia="MS Mincho"/>
          <w:sz w:val="28"/>
          <w:szCs w:val="28"/>
        </w:rPr>
        <w:t xml:space="preserve">Таким образом, вариант №1 </w:t>
      </w:r>
      <w:r w:rsidRPr="00333BD1">
        <w:rPr>
          <w:sz w:val="28"/>
          <w:szCs w:val="28"/>
          <w:lang w:eastAsia="en-US"/>
        </w:rPr>
        <w:t xml:space="preserve">технологических решений </w:t>
      </w:r>
      <w:r w:rsidRPr="00333BD1">
        <w:rPr>
          <w:rFonts w:eastAsia="MS Mincho"/>
          <w:sz w:val="28"/>
          <w:szCs w:val="28"/>
        </w:rPr>
        <w:t>является оптимальным по степени негативного воздействия и экономической выгоды. Благодаря мероприятиям по охране окружающей среды, соблюдению санитарно-гигиенических норм, неблагоприятное воздействие от объекта будет допустимым.</w:t>
      </w:r>
    </w:p>
    <w:p w:rsidR="00333BD1" w:rsidRPr="00333BD1" w:rsidRDefault="00333BD1" w:rsidP="00333BD1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3BD1">
        <w:rPr>
          <w:rFonts w:eastAsia="Calibri"/>
          <w:sz w:val="28"/>
          <w:szCs w:val="28"/>
          <w:lang w:eastAsia="en-US"/>
        </w:rPr>
        <w:lastRenderedPageBreak/>
        <w:t>Планируемая деятельность не предполагает возможного трансграничного воздействия.</w:t>
      </w:r>
    </w:p>
    <w:p w:rsidR="001167A7" w:rsidRPr="002C08DD" w:rsidRDefault="001167A7" w:rsidP="001167A7">
      <w:pPr>
        <w:pStyle w:val="a3"/>
        <w:numPr>
          <w:ilvl w:val="0"/>
          <w:numId w:val="7"/>
        </w:numPr>
        <w:tabs>
          <w:tab w:val="clear" w:pos="720"/>
          <w:tab w:val="left" w:pos="851"/>
        </w:tabs>
        <w:spacing w:before="240" w:after="0"/>
        <w:ind w:left="142" w:firstLine="567"/>
        <w:rPr>
          <w:b/>
          <w:szCs w:val="28"/>
        </w:rPr>
      </w:pPr>
      <w:r w:rsidRPr="002C08DD">
        <w:rPr>
          <w:b/>
          <w:szCs w:val="28"/>
        </w:rPr>
        <w:t>Карта-схема альтернативных вариантов размещения планируемой хозяйственной и иной деятельности</w:t>
      </w:r>
    </w:p>
    <w:p w:rsidR="00DF79B3" w:rsidRPr="002C08DD" w:rsidRDefault="002C08DD" w:rsidP="00DF79B3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2C08DD">
        <w:rPr>
          <w:rFonts w:ascii="Times New Roman CYR" w:hAnsi="Times New Roman CYR" w:cs="Times New Roman CYR"/>
          <w:sz w:val="28"/>
          <w:szCs w:val="28"/>
        </w:rPr>
        <w:t xml:space="preserve">Модернизация площадки по сбору, хранению и использованию отходов минерального происхождения </w:t>
      </w:r>
      <w:r w:rsidR="00DF79B3" w:rsidRPr="002C08DD">
        <w:rPr>
          <w:rFonts w:ascii="Times New Roman CYR" w:hAnsi="Times New Roman CYR" w:cs="Times New Roman CYR"/>
          <w:sz w:val="28"/>
          <w:szCs w:val="28"/>
        </w:rPr>
        <w:t xml:space="preserve">предусматривается в условиях действующего предприятия с возможностью использования существующей инфраструктуры (подъездные пути, инженерные коммуникации, трудовые ресурсы предприятия). </w:t>
      </w:r>
    </w:p>
    <w:p w:rsidR="00DF79B3" w:rsidRPr="002C08DD" w:rsidRDefault="00DF79B3" w:rsidP="00DF79B3">
      <w:pPr>
        <w:ind w:left="284" w:right="284" w:firstLine="425"/>
        <w:jc w:val="both"/>
        <w:rPr>
          <w:rFonts w:ascii="Times New Roman CYR" w:hAnsi="Times New Roman CYR" w:cs="Times New Roman CYR"/>
          <w:sz w:val="28"/>
          <w:szCs w:val="28"/>
        </w:rPr>
      </w:pPr>
      <w:r w:rsidRPr="002C08DD">
        <w:rPr>
          <w:rFonts w:ascii="Times New Roman CYR" w:hAnsi="Times New Roman CYR" w:cs="Times New Roman CYR"/>
          <w:sz w:val="28"/>
          <w:szCs w:val="28"/>
        </w:rPr>
        <w:t>С точки зрения удовлетворения заявленных потребностей производства в ресурсах и использования существующей инфраструктуры выбранную территорию можно считать оптимальной для размещения проектируемого объекта.</w:t>
      </w:r>
    </w:p>
    <w:p w:rsidR="001167A7" w:rsidRPr="002C08DD" w:rsidRDefault="001167A7" w:rsidP="001167A7">
      <w:pPr>
        <w:ind w:left="284" w:right="284" w:firstLine="425"/>
        <w:jc w:val="both"/>
        <w:rPr>
          <w:sz w:val="28"/>
          <w:szCs w:val="28"/>
          <w:lang w:eastAsia="en-US"/>
        </w:rPr>
      </w:pPr>
      <w:r w:rsidRPr="002C08DD">
        <w:rPr>
          <w:rFonts w:ascii="Times New Roman CYR" w:hAnsi="Times New Roman CYR" w:cs="Times New Roman CYR"/>
          <w:sz w:val="28"/>
          <w:szCs w:val="28"/>
        </w:rPr>
        <w:t>Поэтому альтернативные варианты размещения не рассматривались, карта-схема альтернативных вариантов размещения планируемой деятельности не составлялась.</w:t>
      </w:r>
    </w:p>
    <w:p w:rsidR="001167A7" w:rsidRPr="006F1000" w:rsidRDefault="001167A7" w:rsidP="001167A7">
      <w:pPr>
        <w:pStyle w:val="a3"/>
        <w:numPr>
          <w:ilvl w:val="0"/>
          <w:numId w:val="7"/>
        </w:numPr>
        <w:tabs>
          <w:tab w:val="clear" w:pos="720"/>
          <w:tab w:val="left" w:pos="851"/>
        </w:tabs>
        <w:spacing w:before="240" w:after="0"/>
        <w:ind w:left="142" w:firstLine="567"/>
        <w:rPr>
          <w:b/>
          <w:szCs w:val="28"/>
        </w:rPr>
      </w:pPr>
      <w:r w:rsidRPr="006F1000">
        <w:rPr>
          <w:b/>
          <w:szCs w:val="28"/>
        </w:rPr>
        <w:t>Сведения о предполагаемых методах и методиках прогнозирования и оценки, которые будут использованы для ОВОС</w:t>
      </w:r>
    </w:p>
    <w:p w:rsidR="001167A7" w:rsidRPr="006F1000" w:rsidRDefault="001167A7" w:rsidP="001167A7">
      <w:pPr>
        <w:pStyle w:val="a4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000">
        <w:rPr>
          <w:rFonts w:ascii="Times New Roman" w:hAnsi="Times New Roman" w:cs="Times New Roman"/>
          <w:sz w:val="28"/>
          <w:szCs w:val="28"/>
        </w:rPr>
        <w:t>Методика исследований включает рекогносцировочное обследование; структурно-пространственный анализ материалов, характеризующих природные условия (климатические, геоморфологические, гидрологические, геолого-гидрогеологические и др.); анализ результатов локального мониторинга в районе размещения планируемой хозяйственной деятельности; анализ расчета поступления и рассеивания загрязняющих веществ в атмосферный воздух; оценка воздействия на поверхностные и подземные воды.</w:t>
      </w:r>
    </w:p>
    <w:p w:rsidR="00DF79B3" w:rsidRPr="006F1000" w:rsidRDefault="00DF79B3" w:rsidP="00DF79B3">
      <w:pPr>
        <w:pStyle w:val="a3"/>
        <w:numPr>
          <w:ilvl w:val="0"/>
          <w:numId w:val="7"/>
        </w:numPr>
        <w:tabs>
          <w:tab w:val="clear" w:pos="720"/>
          <w:tab w:val="left" w:pos="851"/>
        </w:tabs>
        <w:spacing w:before="240" w:after="0"/>
        <w:ind w:left="142" w:firstLine="567"/>
        <w:rPr>
          <w:b/>
          <w:szCs w:val="28"/>
        </w:rPr>
      </w:pPr>
      <w:r w:rsidRPr="006F1000">
        <w:rPr>
          <w:b/>
          <w:szCs w:val="28"/>
        </w:rPr>
        <w:t>Разделы: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«Существующее состояние окружающей среды, социально-экономические и иные условия». Информация о существующем состоянии окружающей среды, социально-экономических и иных условиях будет представлена в разделах «Оценка существующего состояния компонентов окружающей среды в районе размещения предприятия», «Социально-экономическая характеристика района размещения предприятия»;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«Предварительная оценка возможного воздействия альтернативных вариантов размещения и (или) реализации планируемой хозяйственной или иной деятельности на компоненты окружающей среды, социально-экономические и иные условия». Информация о предварительной оценке возможного воздействия альтернативных вариантов размещения и (или) реализации планируемой деятельности на компоненты окружающей среды, социально-экономические и иные условия будет представлена в разделе «Альтернативные варианты технологических решений»;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«Предполагаемые меры по предотвращению, минимизации или компенсации вредного воздействия на окружающую среду и улучше</w:t>
      </w:r>
      <w:r w:rsidRPr="006F1000">
        <w:rPr>
          <w:bCs/>
          <w:szCs w:val="28"/>
        </w:rPr>
        <w:lastRenderedPageBreak/>
        <w:t>нию социально-экономических условий». Информация о предполагаемых мерах по предотвращению, минимизации или компенсации вредного воздействия на окружающую среду и улучшению социально-экономических условий будет представлена подразделе «Мероприятия по предотвращению, минимизации, компенсации вредного воздействия на окружающую среду»;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«Вероятные чрезвычайные и запроектные аварийные ситуации. Предполагаемые меры по их предупреждению, реагированию на них, ликвидации их последствий. Информация о вероятных чрезвычайных и запроектных аварийных ситуациях, Предполагаемых мерах по их предупреждению, реагированию на них, ликвидации их последствий будет представлена в разделе «Прогноз и оценка вероятных проектных и запроектных аварийных ситуаций»;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«Предложения о программе локального мониторинга окружающей среды и (или) необходимости проведения послепроектного анализа». Информация по предложениям о программе локального мониторинга окружающей среды и (или) необходимости проведения послепроектного анализа» будет представлена в разделе «Программа послепроектного анализа (организация локального мониторинга)»;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«Оценка возможного трансграничного воздействия» – планируемая деятельность не предполагает возможного трансграничного воздействия;</w:t>
      </w:r>
    </w:p>
    <w:p w:rsidR="00DF79B3" w:rsidRPr="006F1000" w:rsidRDefault="00DF79B3" w:rsidP="003A4A72">
      <w:pPr>
        <w:pStyle w:val="a3"/>
        <w:numPr>
          <w:ilvl w:val="1"/>
          <w:numId w:val="14"/>
        </w:numPr>
        <w:tabs>
          <w:tab w:val="clear" w:pos="720"/>
          <w:tab w:val="left" w:pos="851"/>
        </w:tabs>
        <w:spacing w:after="0"/>
        <w:ind w:left="142" w:firstLine="567"/>
        <w:rPr>
          <w:bCs/>
          <w:szCs w:val="28"/>
        </w:rPr>
      </w:pPr>
      <w:r w:rsidRPr="006F1000">
        <w:rPr>
          <w:bCs/>
          <w:szCs w:val="28"/>
        </w:rPr>
        <w:t>Условия для проектирования объекта в целях обеспечения экологической безопасности планируемой хозяйственной и иной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социально-экономических последствий, иных последствий планируемой хозяйственной и иной деятельности для окружающей среды, включая здоровье и 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 особой и (или) специальной охране, а также для объектов историко-культурных ценностей и (при наличии) взаимосвязей между этими последствиями». Информация об условиях для проектирования объекта в целях обеспечения экологической безопасности планируемой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социально-экономических последствий, иных последствий планируемой деятельности для окружающей среды, включая здоровье и 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 особой и (или) специальной охране, а также для объектов историко-культурных ценностей и (при наличии) взаимосвязей между этими последствиями» будет представлена в разделе «Прогноз и оценка изменения состояния окружающей среды и социально-</w:t>
      </w:r>
      <w:r w:rsidRPr="006F1000">
        <w:rPr>
          <w:bCs/>
          <w:szCs w:val="28"/>
        </w:rPr>
        <w:lastRenderedPageBreak/>
        <w:t>экономических условий после ввода проектируемого производства в эксплуатацию».</w:t>
      </w:r>
    </w:p>
    <w:sectPr w:rsidR="00DF79B3" w:rsidRPr="006F1000" w:rsidSect="00E92607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BB" w:rsidRDefault="004A60BB" w:rsidP="00D321FE">
      <w:r>
        <w:separator/>
      </w:r>
    </w:p>
  </w:endnote>
  <w:endnote w:type="continuationSeparator" w:id="0">
    <w:p w:rsidR="004A60BB" w:rsidRDefault="004A60BB" w:rsidP="00D3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22" w:rsidRDefault="000238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BB" w:rsidRDefault="004A60BB" w:rsidP="00D321FE">
      <w:r>
        <w:separator/>
      </w:r>
    </w:p>
  </w:footnote>
  <w:footnote w:type="continuationSeparator" w:id="0">
    <w:p w:rsidR="004A60BB" w:rsidRDefault="004A60BB" w:rsidP="00D3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8C9"/>
    <w:multiLevelType w:val="multilevel"/>
    <w:tmpl w:val="A5D8C6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D11D58"/>
    <w:multiLevelType w:val="hybridMultilevel"/>
    <w:tmpl w:val="8E5AB008"/>
    <w:lvl w:ilvl="0" w:tplc="59C0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5626"/>
    <w:multiLevelType w:val="hybridMultilevel"/>
    <w:tmpl w:val="3FB80468"/>
    <w:lvl w:ilvl="0" w:tplc="73308F9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53EA4"/>
    <w:multiLevelType w:val="hybridMultilevel"/>
    <w:tmpl w:val="63623C0C"/>
    <w:lvl w:ilvl="0" w:tplc="03460DE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B6167"/>
    <w:multiLevelType w:val="multilevel"/>
    <w:tmpl w:val="5A329298"/>
    <w:lvl w:ilvl="0">
      <w:start w:val="1"/>
      <w:numFmt w:val="decimal"/>
      <w:pStyle w:val="1"/>
      <w:lvlText w:val="%1."/>
      <w:lvlJc w:val="left"/>
      <w:pPr>
        <w:ind w:left="1855" w:hanging="360"/>
      </w:pPr>
    </w:lvl>
    <w:lvl w:ilvl="1">
      <w:start w:val="1"/>
      <w:numFmt w:val="decimal"/>
      <w:pStyle w:val="2"/>
      <w:isLgl/>
      <w:lvlText w:val="%1.%2"/>
      <w:lvlJc w:val="left"/>
      <w:pPr>
        <w:ind w:left="2215" w:hanging="720"/>
      </w:pPr>
      <w:rPr>
        <w:rFonts w:eastAsia="TimesNewRomanPSMT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eastAsia="TimesNewRomanPSMT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75" w:hanging="1080"/>
      </w:pPr>
      <w:rPr>
        <w:rFonts w:eastAsia="TimesNewRomanPSMT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935" w:hanging="1440"/>
      </w:pPr>
      <w:rPr>
        <w:rFonts w:eastAsia="TimesNewRomanPSMT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eastAsia="TimesNewRomanPSMT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295" w:hanging="1800"/>
      </w:pPr>
      <w:rPr>
        <w:rFonts w:eastAsia="TimesNewRomanPSMT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655" w:hanging="2160"/>
      </w:pPr>
      <w:rPr>
        <w:rFonts w:eastAsia="TimesNewRomanPSMT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655" w:hanging="2160"/>
      </w:pPr>
      <w:rPr>
        <w:rFonts w:eastAsia="TimesNewRomanPSMT" w:hint="default"/>
        <w:sz w:val="28"/>
      </w:rPr>
    </w:lvl>
  </w:abstractNum>
  <w:abstractNum w:abstractNumId="5" w15:restartNumberingAfterBreak="0">
    <w:nsid w:val="2E854FAD"/>
    <w:multiLevelType w:val="hybridMultilevel"/>
    <w:tmpl w:val="76D68576"/>
    <w:lvl w:ilvl="0" w:tplc="907A1B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120A0B8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11E2"/>
    <w:multiLevelType w:val="hybridMultilevel"/>
    <w:tmpl w:val="88EE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65278"/>
    <w:multiLevelType w:val="hybridMultilevel"/>
    <w:tmpl w:val="318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E02B4"/>
    <w:multiLevelType w:val="multilevel"/>
    <w:tmpl w:val="21E00D7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501"/>
        </w:tabs>
        <w:ind w:left="1501" w:hanging="432"/>
      </w:pPr>
      <w:rPr>
        <w:rFonts w:ascii="Times New Roman" w:hAnsi="Times New Roman" w:hint="default"/>
        <w:b/>
        <w:i w:val="0"/>
        <w:sz w:val="32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149"/>
        </w:tabs>
        <w:ind w:left="1933" w:hanging="50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404" w:hanging="648"/>
      </w:pPr>
      <w:rPr>
        <w:rFonts w:hint="default"/>
      </w:rPr>
    </w:lvl>
    <w:lvl w:ilvl="4">
      <w:start w:val="1"/>
      <w:numFmt w:val="decimal"/>
      <w:lvlRestart w:val="0"/>
      <w:lvlText w:val="%2.%3.%4.%5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9" w15:restartNumberingAfterBreak="0">
    <w:nsid w:val="4E816490"/>
    <w:multiLevelType w:val="hybridMultilevel"/>
    <w:tmpl w:val="3FB80468"/>
    <w:lvl w:ilvl="0" w:tplc="FFFFFFFF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C17023"/>
    <w:multiLevelType w:val="hybridMultilevel"/>
    <w:tmpl w:val="70B429B4"/>
    <w:lvl w:ilvl="0" w:tplc="FFFFFFFF">
      <w:start w:val="1"/>
      <w:numFmt w:val="bullet"/>
      <w:lvlText w:val="–"/>
      <w:lvlJc w:val="left"/>
      <w:pPr>
        <w:ind w:left="14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576223BD"/>
    <w:multiLevelType w:val="hybridMultilevel"/>
    <w:tmpl w:val="932ECD4C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1D10FF"/>
    <w:multiLevelType w:val="hybridMultilevel"/>
    <w:tmpl w:val="836EB1FC"/>
    <w:lvl w:ilvl="0" w:tplc="FFFFFFFF">
      <w:start w:val="1"/>
      <w:numFmt w:val="bullet"/>
      <w:lvlText w:val="–"/>
      <w:lvlJc w:val="left"/>
      <w:pPr>
        <w:ind w:left="187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24D"/>
    <w:rsid w:val="00023822"/>
    <w:rsid w:val="00025CEA"/>
    <w:rsid w:val="00084D2C"/>
    <w:rsid w:val="0009490D"/>
    <w:rsid w:val="000A34CD"/>
    <w:rsid w:val="000A5E2F"/>
    <w:rsid w:val="000C29EE"/>
    <w:rsid w:val="000C35F4"/>
    <w:rsid w:val="000E124D"/>
    <w:rsid w:val="000F5CBA"/>
    <w:rsid w:val="001167A7"/>
    <w:rsid w:val="00116C97"/>
    <w:rsid w:val="00136D0A"/>
    <w:rsid w:val="00141B8A"/>
    <w:rsid w:val="00142DCB"/>
    <w:rsid w:val="00144353"/>
    <w:rsid w:val="0014763D"/>
    <w:rsid w:val="00152769"/>
    <w:rsid w:val="001551ED"/>
    <w:rsid w:val="001870CE"/>
    <w:rsid w:val="00193BE8"/>
    <w:rsid w:val="00201CA8"/>
    <w:rsid w:val="00207C21"/>
    <w:rsid w:val="002364D6"/>
    <w:rsid w:val="00254024"/>
    <w:rsid w:val="00285A32"/>
    <w:rsid w:val="00292477"/>
    <w:rsid w:val="002A2C0D"/>
    <w:rsid w:val="002B47B6"/>
    <w:rsid w:val="002B7043"/>
    <w:rsid w:val="002C08DD"/>
    <w:rsid w:val="002C695F"/>
    <w:rsid w:val="002D2132"/>
    <w:rsid w:val="002E4C05"/>
    <w:rsid w:val="002E7AE2"/>
    <w:rsid w:val="002F129F"/>
    <w:rsid w:val="003119C4"/>
    <w:rsid w:val="00316F6E"/>
    <w:rsid w:val="00333BD1"/>
    <w:rsid w:val="00333C96"/>
    <w:rsid w:val="00344E40"/>
    <w:rsid w:val="00360533"/>
    <w:rsid w:val="00361DED"/>
    <w:rsid w:val="00363CE1"/>
    <w:rsid w:val="003955D8"/>
    <w:rsid w:val="003957D7"/>
    <w:rsid w:val="003978FC"/>
    <w:rsid w:val="003A4A72"/>
    <w:rsid w:val="003B2F40"/>
    <w:rsid w:val="003C70EE"/>
    <w:rsid w:val="003E72B2"/>
    <w:rsid w:val="00443BD5"/>
    <w:rsid w:val="00460E6B"/>
    <w:rsid w:val="00465584"/>
    <w:rsid w:val="00465E2D"/>
    <w:rsid w:val="00482C03"/>
    <w:rsid w:val="00483BF6"/>
    <w:rsid w:val="00483CEE"/>
    <w:rsid w:val="00491F67"/>
    <w:rsid w:val="004A3C1A"/>
    <w:rsid w:val="004A60BB"/>
    <w:rsid w:val="004B4526"/>
    <w:rsid w:val="004C7DF9"/>
    <w:rsid w:val="004D27D9"/>
    <w:rsid w:val="004E3212"/>
    <w:rsid w:val="004E58AE"/>
    <w:rsid w:val="00570FAF"/>
    <w:rsid w:val="00571AB5"/>
    <w:rsid w:val="005727EE"/>
    <w:rsid w:val="005F0717"/>
    <w:rsid w:val="00604015"/>
    <w:rsid w:val="006348B4"/>
    <w:rsid w:val="00637555"/>
    <w:rsid w:val="006A5A10"/>
    <w:rsid w:val="006A63E6"/>
    <w:rsid w:val="006A6695"/>
    <w:rsid w:val="006A6728"/>
    <w:rsid w:val="006D67CF"/>
    <w:rsid w:val="006E4B36"/>
    <w:rsid w:val="006F1000"/>
    <w:rsid w:val="007065FC"/>
    <w:rsid w:val="007147FE"/>
    <w:rsid w:val="00793A4D"/>
    <w:rsid w:val="00845404"/>
    <w:rsid w:val="0085103B"/>
    <w:rsid w:val="00860642"/>
    <w:rsid w:val="008811B1"/>
    <w:rsid w:val="008875E2"/>
    <w:rsid w:val="00891405"/>
    <w:rsid w:val="008D1DF8"/>
    <w:rsid w:val="009014A1"/>
    <w:rsid w:val="00906FA3"/>
    <w:rsid w:val="00920F64"/>
    <w:rsid w:val="00950F25"/>
    <w:rsid w:val="0095200A"/>
    <w:rsid w:val="00957B34"/>
    <w:rsid w:val="00965D14"/>
    <w:rsid w:val="009833DD"/>
    <w:rsid w:val="00991142"/>
    <w:rsid w:val="00995C11"/>
    <w:rsid w:val="009E2D78"/>
    <w:rsid w:val="009E5B7D"/>
    <w:rsid w:val="00A15B0A"/>
    <w:rsid w:val="00A165E3"/>
    <w:rsid w:val="00A3124C"/>
    <w:rsid w:val="00A555D1"/>
    <w:rsid w:val="00AB2546"/>
    <w:rsid w:val="00AD09B5"/>
    <w:rsid w:val="00AD50F6"/>
    <w:rsid w:val="00AD5CDB"/>
    <w:rsid w:val="00B0059A"/>
    <w:rsid w:val="00B13FA6"/>
    <w:rsid w:val="00B50195"/>
    <w:rsid w:val="00B53FB6"/>
    <w:rsid w:val="00B634B2"/>
    <w:rsid w:val="00B855BE"/>
    <w:rsid w:val="00BB7010"/>
    <w:rsid w:val="00BE0DED"/>
    <w:rsid w:val="00C14BDF"/>
    <w:rsid w:val="00C221FE"/>
    <w:rsid w:val="00C81E74"/>
    <w:rsid w:val="00CA07B2"/>
    <w:rsid w:val="00CA2620"/>
    <w:rsid w:val="00CA37D7"/>
    <w:rsid w:val="00CB049A"/>
    <w:rsid w:val="00CD397A"/>
    <w:rsid w:val="00CE2C1C"/>
    <w:rsid w:val="00D321FE"/>
    <w:rsid w:val="00D63EF9"/>
    <w:rsid w:val="00D961DC"/>
    <w:rsid w:val="00DE5043"/>
    <w:rsid w:val="00DE5A78"/>
    <w:rsid w:val="00DF5E70"/>
    <w:rsid w:val="00DF79B3"/>
    <w:rsid w:val="00DF7AF6"/>
    <w:rsid w:val="00E12B2E"/>
    <w:rsid w:val="00E1442C"/>
    <w:rsid w:val="00E15CB2"/>
    <w:rsid w:val="00E75DEF"/>
    <w:rsid w:val="00E92607"/>
    <w:rsid w:val="00EA7274"/>
    <w:rsid w:val="00EB0E0F"/>
    <w:rsid w:val="00EE2EE6"/>
    <w:rsid w:val="00EE4C07"/>
    <w:rsid w:val="00EF7C4D"/>
    <w:rsid w:val="00F25D88"/>
    <w:rsid w:val="00F306E3"/>
    <w:rsid w:val="00F4028A"/>
    <w:rsid w:val="00F504E2"/>
    <w:rsid w:val="00F57D3B"/>
    <w:rsid w:val="00F70ACF"/>
    <w:rsid w:val="00F760E9"/>
    <w:rsid w:val="00FA2C14"/>
    <w:rsid w:val="00FC2547"/>
    <w:rsid w:val="00FD0EDC"/>
    <w:rsid w:val="00FF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C380-9E93-41B0-9125-BFE9ECA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CEA"/>
    <w:pPr>
      <w:keepNext/>
      <w:numPr>
        <w:numId w:val="5"/>
      </w:numPr>
      <w:tabs>
        <w:tab w:val="left" w:pos="720"/>
        <w:tab w:val="left" w:pos="1800"/>
      </w:tabs>
      <w:spacing w:after="120"/>
      <w:ind w:right="57"/>
      <w:jc w:val="both"/>
      <w:outlineLvl w:val="0"/>
    </w:pPr>
    <w:rPr>
      <w:b/>
      <w:iCs/>
      <w:sz w:val="32"/>
    </w:rPr>
  </w:style>
  <w:style w:type="paragraph" w:styleId="2">
    <w:name w:val="heading 2"/>
    <w:aliases w:val="Заголовок 1.1"/>
    <w:basedOn w:val="a"/>
    <w:next w:val="a"/>
    <w:link w:val="20"/>
    <w:qFormat/>
    <w:rsid w:val="00465584"/>
    <w:pPr>
      <w:keepNext/>
      <w:numPr>
        <w:ilvl w:val="1"/>
        <w:numId w:val="5"/>
      </w:numPr>
      <w:tabs>
        <w:tab w:val="left" w:pos="720"/>
        <w:tab w:val="left" w:pos="1800"/>
      </w:tabs>
      <w:spacing w:after="120"/>
      <w:ind w:right="57"/>
      <w:outlineLvl w:val="1"/>
    </w:pPr>
    <w:rPr>
      <w:rFonts w:cs="Arial"/>
      <w:b/>
      <w:iCs/>
      <w:sz w:val="28"/>
    </w:rPr>
  </w:style>
  <w:style w:type="paragraph" w:styleId="3">
    <w:name w:val="heading 3"/>
    <w:basedOn w:val="a"/>
    <w:next w:val="a"/>
    <w:link w:val="30"/>
    <w:qFormat/>
    <w:rsid w:val="00465584"/>
    <w:pPr>
      <w:keepNext/>
      <w:numPr>
        <w:ilvl w:val="2"/>
        <w:numId w:val="4"/>
      </w:numPr>
      <w:tabs>
        <w:tab w:val="left" w:pos="720"/>
      </w:tabs>
      <w:spacing w:after="120"/>
      <w:ind w:right="57"/>
      <w:jc w:val="both"/>
      <w:outlineLvl w:val="2"/>
    </w:pPr>
    <w:rPr>
      <w:rFonts w:cs="Arial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4"/>
    <w:uiPriority w:val="34"/>
    <w:qFormat/>
    <w:rsid w:val="006A6695"/>
    <w:pPr>
      <w:tabs>
        <w:tab w:val="left" w:pos="720"/>
        <w:tab w:val="left" w:pos="1800"/>
      </w:tabs>
      <w:spacing w:after="120"/>
      <w:ind w:left="1135" w:right="284" w:hanging="851"/>
      <w:jc w:val="both"/>
    </w:pPr>
    <w:rPr>
      <w:sz w:val="28"/>
    </w:rPr>
  </w:style>
  <w:style w:type="paragraph" w:styleId="a4">
    <w:name w:val="Plain Text"/>
    <w:basedOn w:val="a"/>
    <w:link w:val="a5"/>
    <w:uiPriority w:val="99"/>
    <w:unhideWhenUsed/>
    <w:rsid w:val="006A6695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A6695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025CEA"/>
    <w:rPr>
      <w:rFonts w:ascii="Times New Roman" w:eastAsia="Times New Roman" w:hAnsi="Times New Roman" w:cs="Times New Roman"/>
      <w:b/>
      <w:iCs/>
      <w:sz w:val="32"/>
      <w:szCs w:val="24"/>
    </w:rPr>
  </w:style>
  <w:style w:type="character" w:customStyle="1" w:styleId="20">
    <w:name w:val="Заголовок 2 Знак"/>
    <w:aliases w:val="Заголовок 1.1 Знак"/>
    <w:basedOn w:val="a0"/>
    <w:link w:val="2"/>
    <w:rsid w:val="00465584"/>
    <w:rPr>
      <w:rFonts w:ascii="Times New Roman" w:eastAsia="Times New Roman" w:hAnsi="Times New Roman" w:cs="Arial"/>
      <w:b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465584"/>
    <w:rPr>
      <w:rFonts w:ascii="Times New Roman" w:eastAsia="Times New Roman" w:hAnsi="Times New Roman" w:cs="Arial"/>
      <w:b/>
      <w:iCs/>
      <w:sz w:val="28"/>
      <w:szCs w:val="24"/>
    </w:rPr>
  </w:style>
  <w:style w:type="paragraph" w:styleId="a6">
    <w:name w:val="Body Text"/>
    <w:basedOn w:val="a"/>
    <w:link w:val="a7"/>
    <w:semiHidden/>
    <w:rsid w:val="000E124D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0E1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321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2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21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2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FA2C14"/>
  </w:style>
  <w:style w:type="paragraph" w:customStyle="1" w:styleId="newncpi0">
    <w:name w:val="newncpi0"/>
    <w:basedOn w:val="a"/>
    <w:rsid w:val="006A63E6"/>
    <w:pPr>
      <w:jc w:val="both"/>
    </w:pPr>
  </w:style>
  <w:style w:type="paragraph" w:customStyle="1" w:styleId="ac">
    <w:name w:val="Абзац с отступом"/>
    <w:basedOn w:val="a"/>
    <w:link w:val="ad"/>
    <w:qFormat/>
    <w:rsid w:val="00EE2EE6"/>
    <w:pPr>
      <w:tabs>
        <w:tab w:val="left" w:pos="1800"/>
      </w:tabs>
      <w:spacing w:after="60"/>
      <w:ind w:left="284" w:right="284" w:firstLine="425"/>
      <w:jc w:val="both"/>
    </w:pPr>
    <w:rPr>
      <w:sz w:val="28"/>
      <w:lang w:eastAsia="en-US"/>
    </w:rPr>
  </w:style>
  <w:style w:type="character" w:customStyle="1" w:styleId="ad">
    <w:name w:val="Абзац с отступом Знак"/>
    <w:link w:val="ac"/>
    <w:rsid w:val="00EE2EE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C64A-5E7A-4FDA-BED5-B10DEEE2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Брисев Олег</cp:lastModifiedBy>
  <cp:revision>70</cp:revision>
  <cp:lastPrinted>2023-05-10T10:13:00Z</cp:lastPrinted>
  <dcterms:created xsi:type="dcterms:W3CDTF">2021-05-21T12:27:00Z</dcterms:created>
  <dcterms:modified xsi:type="dcterms:W3CDTF">2023-05-13T08:01:00Z</dcterms:modified>
</cp:coreProperties>
</file>